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485</w:t>
      </w:r>
    </w:p>
    <w:p>
      <w:r>
        <w:t>Bundesgericht (BGE), 2014-12-02, FR</w:t>
      </w:r>
    </w:p>
    <w:p>
      <w:r>
        <w:rPr>
          <w:b/>
        </w:rPr>
        <w:t xml:space="preserve">Quelle: </w:t>
      </w:r>
      <w:r>
        <w:t>https://mcp.opencaselaw.ch/entscheid/bge_140 V 485</w:t>
      </w:r>
    </w:p>
    <w:p>
      <w:r>
        <w:t>FR: ATF 140 V 485</w:t>
      </w:r>
    </w:p>
    <w:p>
      <w:r>
        <w:t>IT: DTF 140 V 485</w:t>
      </w:r>
    </w:p>
    <w:p>
      <w:pPr>
        <w:pStyle w:val="Heading2"/>
      </w:pPr>
      <w:r>
        <w:t>Regeste</w:t>
      </w:r>
    </w:p>
    <w:p>
      <w:r>
        <w:t>Regeste Art. 3 und 7 Abs. 2 FamZG; Art. 11 Abs. 1 FamZV; Anspruch auf Differenzzahlung. Der Wortlaut von Art. 7 Abs. 2 FamZG ist klar und betrifft nur die Situation von Familien, in welchen zwei Anspruchsberechtigte in verschiedenen Kantonen arbeiten. Es bestehen keine objektiven Gründe für die Annahme, dass der Gesetzeswortlaut nicht den wahren Sinn der Bestimmung wiedergibt, weshalb diese nicht anzuwenden ist auf Fälle, in denen ein Elternteil in zwei verschiedenen Kantonen arbeitet (E. 4.2).</w:t>
      </w:r>
    </w:p>
    <w:p>
      <w:pPr>
        <w:pStyle w:val="Heading2"/>
      </w:pPr>
      <w:r>
        <w:t>Erwägungen</w:t>
      </w:r>
    </w:p>
    <w:p>
      <w:r>
        <w:rPr>
          <w:b/>
        </w:rPr>
        <w:t>E. 2</w:t>
      </w:r>
    </w:p>
    <w:p>
      <w:r>
        <w:t>Dans le cas où les allocations familiales du premier et du second ayants droit sont régies par les dispositions de deux cantons différents, le second a droit au versement de la différence lorsque le taux minimal légal est plus élevé dans son propre canton que dans l'autre. Le Parlement a délégué au Conseil fédéral le pouvoir de régler la procédure et la compétence des caisses de compensation pour les allocations familiales concernant les personnes qui ont plusieurs employeurs ( art. 13 al. 4 let. b LAFam ). Forte de cette délégation, l'autorité exécutive a prévu à l'art. 11 al. 1 de l'ordonnance du 31 octobre 2007 sur les allocations familiales (OAFam; RS 836.21) que si une personne est employée auprès de plusieurs employeurs, la caisse de compensation pour allocations familiales compétente est celle de l'employeur qui verse le salaire le plus élevé.</w:t>
      </w:r>
    </w:p>
    <w:p>
      <w:r>
        <w:rPr>
          <w:b/>
        </w:rPr>
        <w:t>E. 2.1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BGE 140 V 485 S. 487 professionnelle que ceux prévus à l'art. 5 (respectivement 200 fr. et 250 fr.), ainsi qu'une allocation de naissance et une allocation d'adoption; les dispositions de la LAFam sont également applicables à ces allocations.</w:t>
      </w:r>
    </w:p>
    <w:p>
      <w:r>
        <w:rPr>
          <w:b/>
        </w:rPr>
        <w:t>E. 2.2</w:t>
      </w:r>
    </w:p>
    <w:p>
      <w:r>
        <w:t>L' art. 7 LAFam prévoit un ordre de priorité en cas de cumul de droits à des prestations familiales. Il est libellé ainsi: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2.3</w:t>
      </w:r>
    </w:p>
    <w:p>
      <w:r>
        <w:t>Ni les premiers juges ni les parties ne remettent en cause la légalité de l' art. 11 al. 1 OAFam . A juste titre. En effet, quand la norme de délégation accorde un large pouvoir d'appréciation au Conseil fédéral, le Tribunal fédéral est lié à cet égard. Il ne peut pas substituer sa propre appréciation à celle du Conseil fédéral, mais doit seulement vérifier que l'ordonnance en cause ne sorte pas BGE 140 V 485 S. 488 manifestement du cadre de la délégation de compétence prévue par la loi ou n'apparaisse pas, pour d'autres raisons, contraire à la loi ou à la Constitution ( ATF 131 II 562 consid. 3.2 p. 566; ATF 130 I 26 consid. 2.2.1 p. 32). Tel n'est à l'évidence pas le cas en l'espèce, le critère du salaire le plus élevé apparaissant comme objectivement fondé et répondant de surcroît à un impératif de simplicité (KIESER/REICHMUTH, Bundesgesetz über die Familienzulagen - Praxiskommentar, 2010, n° 47 ad art. 13 LAFam ).</w:t>
      </w:r>
    </w:p>
    <w:p>
      <w:r>
        <w:rPr>
          <w:b/>
        </w:rPr>
        <w:t>E. 2.4</w:t>
      </w:r>
    </w:p>
    <w:p>
      <w:r>
        <w:t>Les parties ne contestent pas davantage qu'il appartient à la caisse de compensation de l'employeur vaudois de verser - selon les normes du canton de Vaud - les allocations familiales, étant donné que le salaire réalisé par l'intimée dans le canton de Vaud est plus élevé que celui réalisé dans le canton de Genève. Dans le canton de Vaud le montant minimum de l'allocation pour enfant s'élève à 200 fr. Il a été fixé à 230 fr. à compter du 1 er janvier 2014 et sera porté à 250 fr. dès le 1 er janvier 2017 (art. 3 al. 1 de la loi d'application du canton de Vaud du 23 septembre 2008 de la loi fédérale sur les allocations familiales et sur des prestations cantonales en faveur de la famille [LVLAFam; RSV 836.01]). Le canton de Genève a pour sa part opté pour une allocation pour enfant de 300 fr. jusqu'à 16 ans et de 400 fr. de 16 à 20 ans (art. 8 al. 2 de la loi de la République et canton de Genève du 1 er mars 1996 sur les allocations familiales [LAF; rs/GE J 5 10]).</w:t>
      </w:r>
    </w:p>
    <w:p>
      <w:r>
        <w:rPr>
          <w:b/>
        </w:rPr>
        <w:t>E. 3</w:t>
      </w:r>
    </w:p>
    <w:p>
      <w:r>
        <w:t>La question est de savoir si l'intimée a droit au versement par la caisse genevoise de la différence entre le montant de l'allocation familiale versée dans le canton de Vaud - par la caisse compétente selon l' art.11 al. 1 OAFam - et celle, plus élevée, prévue par la législation du canton de Genève.</w:t>
      </w:r>
    </w:p>
    <w:p>
      <w:r>
        <w:rPr>
          <w:b/>
        </w:rPr>
        <w:t>E. 3.1</w:t>
      </w:r>
    </w:p>
    <w:p>
      <w:r>
        <w:t>Comme le rappelle l'autorité cantonale, l'adoption de l' art. 7 al. 2 LAFam avait été motivée par la jurisprudence rendue par le Tribunal fédéral dans l' ATF 129 I 265 . Dans cette affaire, il était question de conjoints résidant dans le canton de Fribourg. Le mari travaillait dans le canton de Soleure et son épouse dans le canton de Fribourg. Celle-ci s'était vu refuser les prestations familiales au motif que la loi fribourgeoise sur les allocations familiales prévoyait - pour les couples mariés - comme ayant droit prioritaire le père. Etant donné que son mari avait droit au versement d'allocations familiales dans le canton de Soleure, elle ne pouvait pas demander des prestations familiales dans le canton de Fribourg. Confronté à cette situation de concours de droits impliquant deux cantons, le Tribunal BGE 140 V 485 S. 489 fédéral a jugé opportun d'appliquer par analogie les règles de conflit prévues aux art. 73 et 76 du Règlement (CEE) n° 1408/71 du Conseil du 14 juin 1971 relatif à l'application des régimes de sécurité sociale aux travailleurs salariés, aux travailleurs non salariés et aux membres de leur famille qui se déplacent à l'intérieur de la Communauté (RO 2004 121). Il en résultait, dans les relations intercantonales aussi, que les allocations familiales devaient être servies par la caisse du canton de résidence des époux lorsque l'un d'entre eux travaille dans ce canton. Dans le cas où le canton dans lequel travaille l'autre époux prévoit des allocations plus élevées, le versement de la différence pouvait être demandé. L'autorité cantonale en déduit que ces principes sont aussi applicables en présence d'un seul ayant droit qui travaille dans deux cantons différents. Admettre le contraire constituerait selon les premiers juges une violation du principe de l'égalité de traitement tel que consacré à l' art. 8 al. 1 Cst.</w:t>
      </w:r>
    </w:p>
    <w:p>
      <w:r>
        <w:rPr>
          <w:b/>
        </w:rPr>
        <w:t>E. 3.2</w:t>
      </w:r>
    </w:p>
    <w:p>
      <w:r>
        <w:t>Le recourant fait valoir que la solution préconisée par la juridiction cantonale ne repose sur aucune base légale. Le non-versement d'un éventuel différentiel résulte d'un choix du législateur. La solution de l' art. 7 al. 2 LAFam ne saurait s'appliquer ici, car la situation dans laquelle il y a un concours de droits entre plusieurs personnes n'est pas similaire à celle où le concours de droits est réalisé au sein de la même personne.</w:t>
      </w:r>
    </w:p>
    <w:p>
      <w:r>
        <w:rPr>
          <w:b/>
        </w:rPr>
        <w:t>E. 3.3</w:t>
      </w:r>
    </w:p>
    <w:p>
      <w:r>
        <w:t>L'intimée quant à elle se rallie aux considérations des premiers juges et invoque subsidiairement l'existence d'une lacune. A son avis, l' art. 7 al. 2 LAFam a pour vocation de régler tant la situation du parent qui travaille dans deux cantons différents que celle des familles au sein desquelles les parents ne travaillent pas dans le même canton. L' art. 8 al. 1 Cst. commanderait de traiter de la même manière les deux situations.</w:t>
      </w:r>
    </w:p>
    <w:p>
      <w:r>
        <w:rPr>
          <w:b/>
        </w:rPr>
        <w:t>E. 4.1</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BGE 140 V 485 S. 490 pluralité de méthodes, sans soumettre les différents éléments d'interprétation à un ordre de priorité ( ATF 140 V 227 consid. 3.2 p. 230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(cf. ATF 139 I 57 consid. 5.2 p. 60 s. et les arrêts cités).</w:t>
      </w:r>
    </w:p>
    <w:p>
      <w:r>
        <w:rPr>
          <w:b/>
        </w:rPr>
        <w:t>E. 4.2.1</w:t>
      </w:r>
    </w:p>
    <w:p>
      <w:r>
        <w:t>Le texte de l' art. 7 al. 2 LAFam est clair et ne vise que la situation des familles au sein desquelles deux ayants droit travaillent dans des cantons différents. Aussi convient-il de se demander, par la voie de l'interprétation, s'il existe des raisons objectives d'admettre que la lettre de la loi ne restitue pas le véritable sens de la disposition en cause, de sorte que l'on devrait en conclure que, nonobstant l'interprétation littérale, l' art. 7 al. 2 LAFam devrait s'appliquer aux cas où l'on est en présence d'un parent qui travaille dans deux cantons différents.</w:t>
      </w:r>
    </w:p>
    <w:p>
      <w:r>
        <w:rPr>
          <w:b/>
        </w:rPr>
        <w:t>E. 4.2.2</w:t>
      </w:r>
    </w:p>
    <w:p>
      <w:r>
        <w:t>Dans le rapport du 20 novembre 1998 sur l'initiative parlementaire "Prestations familiales (Fankhauser)" la Commission de la sécurité sociale et de la santé publique du Conseil national (ci-après: la CSSS-CN) avait formulé à l'art. 6 du projet de loi les règles de priorité applicables en cas de concours de droits. Cette version du texte visait uniquement les cas où plusieurs personnes pouvaient faire valoir un droit aux allocations familiales pour le même enfant (FF 1999 2942, 2976). Ce n'est que dans le rapport complémentaire du 8 septembre 2004 de la CSSS-CN qu'apparaît pour la première fois le droit au versement du différentiel (art. 7 al. 2 du projet de loi; FF 2004 6459, 6502). L'adoption de cette disposition a été motivée BGE 140 V 485 S. 491 - comme l'a retenu à juste titre l'instance cantonale - par la jurisprudence rendue dans l' ATF 129 I 265 . Elle avait pour but d'accorder les mêmes droits aux familles au sein desquelles les parents exercent une activité lucrative dans deux cantons différents et à celles où l'un des parents travaille à l'étranger et l'autre en Suisse. En ce qui concerne le versement du différentiel, la CSSS-CN avait précisé que seul le deuxième ayant droit pouvait prétendre au versement de la différence (FF 2004 6478). L'art. 7 al. 2 du projet de loi prévoyait en effet ceci: "Dans le cas où les allocations familiales du deuxième ayant droit seraient plus élevées, celui-ci a droit à la différence". Par la suite, la Commission de la sécurité sociale et de la santé publique du Conseil des Etats (ci-après: la CSSS-CE) a proposé une formulation plus détaillée de l'art. 7 al. 2. La version du texte proposée par la CSSS-CE avait la teneur suivante: "Dans le cas où les allocations familiales du premier et du second ayant droit sont régies par les dispositions de deux cantons différents, le second a droit au versement de la différence lorsque le taux minimal légal est plus élevé dans son propre canton que dans l'autre" (BO 2005 CE 717). Cette version du texte a été approuvée par le Conseil des Etats et correspond à la version actuelle du texte de l' art. 7 al. 2 LAFam . La préoccupation majeure était de régler dans la LAFam les situations dans lesquelles plusieurs personnes peuvent faire valoir un droit au versement d'allocations familiales pour le même enfant. La question d'un éventuel versement du différentiel à un travailleur qui exerce des activités lucratives dans plusieurs cantons n'a jamais été soulevée lors des débats parlementaires (voir en particulier l'intervention du conseiller aux Etats Urs Schwaller BO 2005 CE 717). L'examen des travaux préparatoires ne permet donc pas de retenir que le texte de l' art. 7 al. 2 LAFam ne traduit pas sa portée véritable (voir également pour une interprétation littérale, DOROTHEA RIEDI HUNOLD, Familienleistungen, in Recht der Sozialen Sicherheit, Steiger-Sackmann/Mosimann [éd.], 2014, n. 33.65 p. 1196; MARCO REICHMUTH, Ansprüche der Erwerbstätigen, in Bundesgesetz über die Familienzulagen [FamZG], Schaffhauser/Kieser [éd.], 2009, p. 128; THOMAS FLÜCKIGER, Koordinations- und verfahrensrechtliche Aspekte bei den Kinder- und Ausbildungszulagen, in Bundesgesetz über die Familienzulagen [FamZG], Schaffhauser/Kieser [éd.], 2009, p. 169 et 177; dans le même sens: Directives pour l'application de la loi fédérale sur les allocations familiales LAFam [DAFam], valables dès le 1 er janvier 2009, ch. 411; voir toutefois pour une approche BGE 140 V 485 S. 492 plus large KIESER/REICHMUTH, op. cit., n° 96 ad art. 7 et n° 49 ad art. 13 LAFam ).</w:t>
      </w:r>
    </w:p>
    <w:p>
      <w:r>
        <w:rPr>
          <w:b/>
        </w:rPr>
        <w:t>E. 4.2.3</w:t>
      </w:r>
    </w:p>
    <w:p>
      <w:r>
        <w:t>Du point de vue téléologique, les premiers juges insistent sur le but des allocations familiales qui est de compenser partiellement la charge financière que représentent un ou plusieurs enfants ( art. 2 LAFam ). Le but visé ne postule toutefois pas nécessairement un ordre de priorité en faveur de la législation cantonale la plus favorable ou le versement d'un montant sous la forme d'un complément différentiel. En cas de concours de droits, il incombe au législateur de faire des choix en fonction de ses objectifs de politique juridique et sociale. Le législateur était d'ailleurs conscient d'un concours possible de droits résultant de l'exercice de deux (ou plusieurs) activités simultanées par une même personne dans des cantons différents, puisqu'il a délégué au Conseil fédéral la compétence de régler cette situation en lui laissant toute latitude sur la réglementation à adopter. On peut penser que s'il avait voulu instaurer dans ce cas un système analogue à l' art. 7 al. 2 LAFam , il l'aurait prévu dans la loi.</w:t>
      </w:r>
    </w:p>
    <w:p>
      <w:r>
        <w:rPr>
          <w:b/>
        </w:rPr>
        <w:t>E. 4.2.4</w:t>
      </w:r>
    </w:p>
    <w:p>
      <w:r>
        <w:t>La loi étant claire, l'éventualité d'une lacune proprement dite doit être exclue. Quant à l'existence d'une lacune improprement dite, elle ne peut en principe pas être comblée par le juge (supra consid. 4.1). A l'évidence, l' art. 7 al. 2 LAFam n'est pas invoqué abusivement en l'espèce. En outre, indépendamment du fait que le Tribunal fédéral est tenu d'appliquer les lois fédérales ( art. 190 Cst. ), à tout le moins lorsque le texte et le sens de la disposition légale sont absolument clairs ( ATF 136 II 120 consid. 3.5.1 p. 130; ATF 132 II 234 consid. 2.2 p. 236), on ne voit pas que la loi consacre ici une inégalité de traitement. Le principe de l'égalité de traitement ne commande pas de traiter de la même manière deux situations aussi différentes que sont l'exercice par une personne de plusieurs activités et le concours de prestations entre deux ayants droit potentiels.</w:t>
      </w:r>
    </w:p>
    <w:p>
      <w:r>
        <w:rPr>
          <w:b/>
        </w:rPr>
        <w:t>E. 5</w:t>
      </w:r>
    </w:p>
    <w:p>
      <w:r>
        <w:t>Il suit de ce qui précède que le recours doit être admis et que le jugement de la Chambre des assurances sociales de la Cour de justice de la République et canton de Genève du 27 février 2014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